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222"/>
        <w:gridCol w:w="1294"/>
        <w:gridCol w:w="294"/>
      </w:tblGrid>
      <w:tr w:rsidR="004C715E" w:rsidRPr="001401C8" w:rsidTr="007876E0">
        <w:trPr>
          <w:trHeight w:val="320"/>
        </w:trPr>
        <w:tc>
          <w:tcPr>
            <w:tcW w:w="0" w:type="auto"/>
          </w:tcPr>
          <w:p w:rsidR="004C715E" w:rsidRPr="001401C8" w:rsidRDefault="004C715E" w:rsidP="007876E0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  <w:rFonts w:cs="Arial"/>
                <w:sz w:val="5"/>
                <w:szCs w:val="5"/>
                <w:lang/>
              </w:rPr>
            </w:pPr>
          </w:p>
        </w:tc>
        <w:tc>
          <w:tcPr>
            <w:tcW w:w="0" w:type="auto"/>
          </w:tcPr>
          <w:p w:rsidR="004C715E" w:rsidRPr="001401C8" w:rsidRDefault="004C715E" w:rsidP="007876E0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4C715E" w:rsidRPr="001401C8" w:rsidRDefault="004C715E" w:rsidP="007876E0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  <w:rFonts w:cs="Arial"/>
                <w:sz w:val="5"/>
                <w:szCs w:val="5"/>
                <w:lang/>
              </w:rPr>
            </w:pPr>
            <w:r>
              <w:rPr>
                <w:rFonts/>
                <w:b/>
                <w:sz w:val="5"/>
              </w:rPr>
              <w:t>VÍCE NEŽ 40 LET</w:t>
            </w:r>
            <w:r>
              <w:rPr>
                <w:rFonts/>
                <w:sz w:val="5"/>
              </w:rPr>
              <w:t xml:space="preserve"> NĚMECKÉ TECHNOLOGIE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4C715E" w:rsidRPr="004E7E41" w:rsidRDefault="004C715E" w:rsidP="007876E0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  <w:rFonts w:cs="Arial"/>
                <w:b/>
                <w:bCs/>
                <w:sz w:val="14"/>
                <w:szCs w:val="14"/>
                <w:lang/>
              </w:rPr>
            </w:pPr>
            <w:r>
              <w:rPr>
                <w:rFonts/>
                <w:b/>
                <w:sz w:val="14"/>
              </w:rPr>
              <w:t>1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</w:p>
    <w:p w:rsidR="004C715E" w:rsidRPr="004C715E" w:rsidRDefault="004C715E" w:rsidP="004C715E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  <w:r>
        <w:rPr>
          <w:rStyle w:val="DoNotTranslate"/>
        </w:rPr>
        <w:t>§§§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8"/>
          <w:szCs w:val="18"/>
          <w:lang/>
        </w:rPr>
      </w:pPr>
      <w:r>
        <w:rPr>
          <w:rFonts/>
          <w:b/>
          <w:sz w:val="18"/>
        </w:rPr>
        <w:t>VÍCE NEŽ 40 LET</w:t>
      </w:r>
      <w:r>
        <w:rPr>
          <w:rFonts/>
          <w:sz w:val="18"/>
        </w:rPr>
        <w:t xml:space="preserve"> NĚMECKÉ TECHNOLOGIE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8"/>
          <w:szCs w:val="18"/>
          <w:lang/>
        </w:rPr>
      </w:pP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4"/>
          <w:szCs w:val="24"/>
          <w:lang/>
        </w:rPr>
      </w:pPr>
      <w:r>
        <w:rPr>
          <w:rFonts/>
          <w:sz w:val="24"/>
        </w:rPr>
        <w:t>Nabíječka baterií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4"/>
          <w:szCs w:val="24"/>
          <w:lang/>
        </w:rPr>
      </w:pP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4"/>
          <w:szCs w:val="24"/>
          <w:lang/>
        </w:rPr>
      </w:pPr>
      <w:r>
        <w:rPr>
          <w:rFonts/>
          <w:b/>
          <w:sz w:val="24"/>
        </w:rPr>
        <w:t>ABSAAR EVO 4.0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  <w:r>
        <w:rPr>
          <w:rStyle w:val="DoNotTranslate"/>
        </w:rPr>
        <w:t>§§§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C715E" w:rsidRPr="004C715E" w:rsidRDefault="004C715E" w:rsidP="004C715E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</w:p>
    <w:p w:rsidR="003D23A2" w:rsidRDefault="003D23A2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4"/>
          <w:szCs w:val="24"/>
          <w:lang/>
        </w:rPr>
      </w:pPr>
      <w:r>
        <w:rPr>
          <w:rFonts/>
          <w:sz w:val="24"/>
        </w:rPr>
        <w:t>Uživatelská příručka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D23A2" w:rsidRDefault="003D23A2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4"/>
          <w:szCs w:val="24"/>
          <w:lang/>
        </w:rPr>
      </w:pPr>
    </w:p>
    <w:p w:rsidR="003D23A2" w:rsidRDefault="003D23A2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24"/>
          <w:szCs w:val="24"/>
          <w:lang/>
        </w:rPr>
      </w:pPr>
      <w:r>
        <w:rPr>
          <w:rFonts/>
          <w:b/>
          <w:sz w:val="24"/>
        </w:rPr>
        <w:t>Obsah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D23A2" w:rsidRDefault="003D23A2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24"/>
          <w:szCs w:val="24"/>
          <w:lang/>
        </w:rPr>
      </w:pPr>
    </w:p>
    <w:p w:rsidR="003D23A2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4"/>
          <w:szCs w:val="24"/>
          <w:lang/>
        </w:rPr>
      </w:pPr>
      <w:r>
        <w:rPr>
          <w:rFonts/>
          <w:sz w:val="24"/>
        </w:rPr>
        <w:t>Čeština</w:t>
      </w:r>
      <w:r>
        <w:tab/>
      </w:r>
      <w:r>
        <w:rPr>
          <w:rFonts/>
          <w:sz w:val="24"/>
        </w:rPr>
        <w:t>04</w:t>
      </w:r>
    </w:p>
    <w:p w:rsidR="003D23A2" w:rsidRDefault="003D23A2">
      <w:pPr>
        <w:spacing w:after="0" w:line="240" w:lineRule="auto"/>
        <w:rPr>
          <w:rFonts w:eastAsia="Arial Unicode MS" w:cs="Arial"/>
          <w:sz w:val="24"/>
          <w:szCs w:val="24"/>
          <w:lang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C715E" w:rsidRP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24"/>
          <w:szCs w:val="24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411"/>
        <w:gridCol w:w="1294"/>
        <w:gridCol w:w="294"/>
      </w:tblGrid>
      <w:tr w:rsidR="003D23A2" w:rsidTr="003D23A2">
        <w:tc>
          <w:tcPr>
            <w:tcW w:w="0" w:type="auto"/>
          </w:tcPr>
          <w:p w:rsidR="003D23A2" w:rsidRPr="003D23A2" w:rsidRDefault="003D23A2" w:rsidP="004D1A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b/>
                <w:bCs/>
                <w:sz w:val="14"/>
                <w:szCs w:val="14"/>
                <w:lang/>
              </w:rPr>
            </w:pPr>
            <w:r>
              <w:rPr>
                <w:rFonts/>
                <w:b/>
                <w:sz w:val="14"/>
              </w:rPr>
              <w:t>CZ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3D23A2" w:rsidRPr="003D23A2" w:rsidRDefault="003D23A2" w:rsidP="004D1ACB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3D23A2" w:rsidRPr="003D23A2" w:rsidRDefault="003D23A2" w:rsidP="004D1A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sz w:val="5"/>
                <w:szCs w:val="5"/>
                <w:lang/>
              </w:rPr>
            </w:pPr>
            <w:r>
              <w:rPr>
                <w:rFonts/>
                <w:b/>
                <w:sz w:val="5"/>
              </w:rPr>
              <w:t>VÍCE NEŽ 40 LET</w:t>
            </w:r>
            <w:r>
              <w:rPr>
                <w:rFonts/>
                <w:sz w:val="5"/>
              </w:rPr>
              <w:t xml:space="preserve"> NĚMECKÉ TECHNOLOGIE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3D23A2" w:rsidRDefault="003D23A2" w:rsidP="004D1AC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b/>
                <w:bCs/>
                <w:sz w:val="14"/>
                <w:szCs w:val="14"/>
                <w:lang/>
              </w:rPr>
            </w:pPr>
            <w:r>
              <w:rPr>
                <w:rFonts/>
                <w:b/>
                <w:sz w:val="14"/>
              </w:rPr>
              <w:t>4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D23A2" w:rsidRDefault="003D23A2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4"/>
          <w:szCs w:val="14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D23A2" w:rsidRDefault="003D23A2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4"/>
          <w:szCs w:val="14"/>
          <w:lang/>
        </w:rPr>
      </w:pP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Návod k obsluze ABSAAR EVO 4.0</w:t>
      </w:r>
    </w:p>
    <w:p w:rsidR="004C715E" w:rsidRP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Děkujeme vám, že jste si zakoupili tuto nabíječku baterií ABSAAR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Před použitím této nabíječky baterií si prosím pozorně přečtěte bezpečnostní pokyny.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 xml:space="preserve">Tato nabíječka ABSAAR EVO je vhodná pro 6V a 12V olověné, gelové a AGM baterie. </w:t>
      </w:r>
      <w:r>
        <w:rPr>
          <w:rFonts/>
          <w:sz w:val="16"/>
        </w:rPr>
        <w:t>Baterie s kapacitou až 95 Ah lze nabíjet a baterie s kapacitou až 140 Ah lze nabíjet udržovacím nabíjením.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 xml:space="preserve">Nabíječka ABSAAR EVO má několik diagnostických, ochranných a zotavovacích funkcí, které jsou v případě, že je připojená baterie vyžaduje, použity plně automaticky. </w:t>
      </w:r>
      <w:r>
        <w:rPr>
          <w:rFonts/>
          <w:sz w:val="16"/>
        </w:rPr>
        <w:t xml:space="preserve">Nemusíte se o nic starat. </w:t>
      </w:r>
      <w:r>
        <w:rPr>
          <w:rFonts/>
          <w:sz w:val="16"/>
        </w:rPr>
        <w:t>Tyto funkce prodlouží životnost vaší baterie.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D23A2" w:rsidRPr="004C715E" w:rsidRDefault="003D23A2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Bezpečnostní pokyny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Tato nabíječka je navržena pro nabíjení 6V/12V olověných, gelových a AGM baterií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Nepoužívejte ji k žádným jiným účelům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Před jejím použitím zkontrolujte, zda nejsou poškozeny kabely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Nikdy nenabíjejte poškozenou baterii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Během nabíjení nepokládejte nabíječku na baterii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Nabíjejte pouze na dobře větraných místech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Nabíječku baterií nezakrývejte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Během nabíjení se může uvolňovat výbušný plyn a proto zabraňte vzniku jisker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Kyselina používaná v bateriích je nebezpečná – v případě kontaktu s kyselinou baterie okamžitě vyhledejte lékaře.</w:t>
      </w:r>
    </w:p>
    <w:p w:rsidR="003D23A2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 xml:space="preserve">Tato nabíječka není vhodná pro děti ani osoby, které neumí číst a nerozumí bezpečnostním pokynům. </w:t>
      </w:r>
      <w:r>
        <w:rPr>
          <w:rFonts/>
          <w:sz w:val="16"/>
        </w:rPr>
        <w:t xml:space="preserve">Uložte ji mimo dosah takových osob nebo dětí. </w:t>
      </w:r>
      <w:r>
        <w:rPr>
          <w:rFonts/>
          <w:sz w:val="16"/>
        </w:rPr>
        <w:t>Nedovolte dětem, aby si s touto nabíječkou hrály.</w:t>
      </w:r>
    </w:p>
    <w:p w:rsidR="003D23A2" w:rsidRDefault="003D23A2">
      <w:pPr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D23A2" w:rsidRDefault="003D23A2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411"/>
        <w:gridCol w:w="1294"/>
        <w:gridCol w:w="294"/>
      </w:tblGrid>
      <w:tr w:rsidR="003D23A2" w:rsidRPr="003D23A2" w:rsidTr="003D23A2">
        <w:tc>
          <w:tcPr>
            <w:tcW w:w="0" w:type="auto"/>
          </w:tcPr>
          <w:p w:rsidR="003D23A2" w:rsidRPr="003D23A2" w:rsidRDefault="003D23A2" w:rsidP="00994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b/>
                <w:bCs/>
                <w:sz w:val="14"/>
                <w:szCs w:val="14"/>
                <w:lang/>
              </w:rPr>
            </w:pPr>
            <w:r>
              <w:rPr>
                <w:rFonts/>
                <w:b/>
                <w:sz w:val="14"/>
              </w:rPr>
              <w:t>CZ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3D23A2" w:rsidRPr="003D23A2" w:rsidRDefault="003D23A2" w:rsidP="0099401A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3D23A2" w:rsidRPr="003D23A2" w:rsidRDefault="003D23A2" w:rsidP="00994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sz w:val="5"/>
                <w:szCs w:val="5"/>
                <w:lang/>
              </w:rPr>
            </w:pPr>
            <w:r>
              <w:rPr>
                <w:rFonts/>
                <w:b/>
                <w:sz w:val="5"/>
              </w:rPr>
              <w:t>VÍCE NEŽ 40 LET</w:t>
            </w:r>
            <w:r>
              <w:rPr>
                <w:rFonts/>
                <w:sz w:val="5"/>
              </w:rPr>
              <w:t xml:space="preserve"> NĚMECKÉ TECHNOLOGIE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3D23A2" w:rsidRPr="003D23A2" w:rsidRDefault="003D23A2" w:rsidP="009940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b/>
                <w:bCs/>
                <w:sz w:val="14"/>
                <w:szCs w:val="14"/>
                <w:lang/>
              </w:rPr>
            </w:pPr>
            <w:r>
              <w:rPr>
                <w:rFonts/>
                <w:b/>
                <w:sz w:val="14"/>
              </w:rPr>
              <w:t>5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D23A2" w:rsidRDefault="003D23A2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4"/>
          <w:szCs w:val="14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D23A2" w:rsidRPr="004C715E" w:rsidRDefault="003D23A2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4"/>
          <w:szCs w:val="14"/>
          <w:lang/>
        </w:rPr>
      </w:pPr>
    </w:p>
    <w:p w:rsidR="004C715E" w:rsidRP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Technický popis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LCD displej poskytuje nejdůležitější informace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D23A2" w:rsidRDefault="003D23A2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</w:p>
    <w:p w:rsidR="003D23A2" w:rsidRDefault="003D23A2" w:rsidP="004C715E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  <w:r>
        <w:rPr>
          <w:rStyle w:val="DoNotTranslate"/>
        </w:rPr>
        <w:t>§§§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D23A2" w:rsidRDefault="003D23A2" w:rsidP="004C715E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 xml:space="preserve">K dispozici je několik režimů nabíjení. </w:t>
      </w:r>
      <w:r>
        <w:rPr>
          <w:rFonts/>
          <w:sz w:val="16"/>
        </w:rPr>
        <w:t xml:space="preserve">Můžete vybrat 12V STD pro nabíjení 12V olověné a gelové baterie, 12V AGM pro nabíjení 12V AGM baterie a 6V STD pro nabíjení 6V olověné a gelové baterie. </w:t>
      </w:r>
      <w:r>
        <w:rPr>
          <w:rFonts/>
          <w:sz w:val="16"/>
        </w:rPr>
        <w:t>Každý režim lze změnit na zimní režim stisknutím tlačítka tohoto režimu – zobrazí se ikona sněhové vločky a aktivuje se zimní režim umožňující nabíjet baterie při nízkých teplotách.</w:t>
      </w:r>
    </w:p>
    <w:p w:rsidR="004C715E" w:rsidRP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Voltmetr zobrazuje aktuální nabíjecí napětí a symbol baterie aktuální stav nabíjení.</w:t>
      </w:r>
    </w:p>
    <w:p w:rsidR="004C715E" w:rsidRP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Poruchy jsou signalizovány pomocí tří ikon</w:t>
      </w:r>
    </w:p>
    <w:p w:rsidR="004C715E" w:rsidRP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tab/>
      </w:r>
      <w:r>
        <w:rPr>
          <w:rFonts/>
          <w:sz w:val="16"/>
        </w:rPr>
        <w:t>-</w:t>
      </w:r>
      <w:r>
        <w:tab/>
      </w:r>
      <w:r>
        <w:rPr>
          <w:rFonts/>
          <w:sz w:val="16"/>
        </w:rPr>
        <w:t>Ikona v levém rohu indikuje nesprávnou polaritu – změňte prosím připojení svorek</w:t>
      </w:r>
    </w:p>
    <w:p w:rsidR="004C715E" w:rsidRP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tab/>
      </w:r>
      <w:r>
        <w:rPr>
          <w:rFonts/>
          <w:sz w:val="16"/>
        </w:rPr>
        <w:t>-</w:t>
      </w:r>
      <w:r>
        <w:tab/>
      </w:r>
      <w:r>
        <w:rPr>
          <w:rFonts/>
          <w:sz w:val="16"/>
        </w:rPr>
        <w:t>Ikona uprostřed indikuje vadnou baterii – nechte prosím baterii otestovat mechanikem a v případě potřeby ji vyměňte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tab/>
      </w:r>
      <w:r>
        <w:rPr>
          <w:rFonts/>
          <w:sz w:val="16"/>
        </w:rPr>
        <w:t>-</w:t>
      </w:r>
      <w:r>
        <w:tab/>
      </w:r>
      <w:r>
        <w:rPr>
          <w:rFonts/>
          <w:sz w:val="16"/>
        </w:rPr>
        <w:t>Ikona v pravém rohu indikuje špatné spojení – zkontrolujte prosím spojení mezi nabíječkou a baterií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758A2" w:rsidRPr="004C715E" w:rsidRDefault="006758A2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Nabíjení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1.</w:t>
      </w:r>
      <w:r>
        <w:tab/>
      </w:r>
      <w:r>
        <w:rPr>
          <w:rFonts/>
          <w:sz w:val="16"/>
        </w:rPr>
        <w:t>Připojte nabíječku k baterii – nejprve červenou svorku na plus a pak černou svorku na minus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2.</w:t>
      </w:r>
      <w:r>
        <w:tab/>
      </w:r>
      <w:r>
        <w:rPr>
          <w:rFonts/>
          <w:sz w:val="16"/>
        </w:rPr>
        <w:t>Připojte nabíječku do zásuvky s napětím 230 V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3.</w:t>
      </w:r>
      <w:r>
        <w:tab/>
      </w:r>
      <w:r>
        <w:rPr>
          <w:rFonts/>
          <w:sz w:val="16"/>
        </w:rPr>
        <w:t>Stisknutím tlačítka režimu vyberte režim nabíjení podle vaší baterie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4.</w:t>
      </w:r>
      <w:r>
        <w:tab/>
      </w:r>
      <w:r>
        <w:rPr>
          <w:rFonts/>
          <w:sz w:val="16"/>
        </w:rPr>
        <w:t>Nabíjení se spustí automaticky za několik sekund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5.</w:t>
      </w:r>
      <w:r>
        <w:tab/>
      </w:r>
      <w:r>
        <w:rPr>
          <w:rFonts/>
          <w:sz w:val="16"/>
        </w:rPr>
        <w:t>Po dokončení nabíjení se na displeji zobrazí FUL (Nabito) a nabíječka se přepne do udržovacího režimu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758A2" w:rsidRPr="004C715E" w:rsidRDefault="006758A2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</w:p>
    <w:p w:rsidR="004C715E" w:rsidRP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Záruka</w:t>
      </w:r>
    </w:p>
    <w:p w:rsidR="004C715E" w:rsidRP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Na naše nabíječky poskytujeme dvouletou záruku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Kontaktujte prosím prodejce, u kterého jste nabíječku ABSAAR zakoupili a ukažte mu fakturu jako důkaz pro uplatnění záruky.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sz w:val="16"/>
        </w:rPr>
        <w:t>Nároky v rámci záruky nebudou bez doložení faktury uznány.</w:t>
      </w: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sz w:val="16"/>
          <w:szCs w:val="16"/>
          <w:lang/>
        </w:rPr>
      </w:pPr>
    </w:p>
    <w:p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4"/>
          <w:szCs w:val="14"/>
          <w:lang/>
        </w:rPr>
      </w:pPr>
      <w:r>
        <w:rPr>
          <w:rFonts/>
          <w:b/>
          <w:sz w:val="14"/>
        </w:rPr>
        <w:t>20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4"/>
          <w:szCs w:val="14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C715E" w:rsidRPr="004C715E" w:rsidRDefault="004C715E" w:rsidP="004C715E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sz w:val="14"/>
          <w:szCs w:val="14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584"/>
        <w:gridCol w:w="2182"/>
        <w:gridCol w:w="2372"/>
      </w:tblGrid>
      <w:tr w:rsidR="004C715E" w:rsidRPr="00BE1B54" w:rsidTr="00006A3E">
        <w:trPr>
          <w:trHeight w:val="321"/>
        </w:trPr>
        <w:tc>
          <w:tcPr>
            <w:tcW w:w="0" w:type="auto"/>
          </w:tcPr>
          <w:p w:rsidR="004C715E" w:rsidRPr="00BE1B54" w:rsidRDefault="004C715E" w:rsidP="00006A3E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7876E0" w:rsidRDefault="004C715E" w:rsidP="007876E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  <w:lang/>
              </w:rPr>
            </w:pPr>
            <w:r>
              <w:rPr>
                <w:rFonts/>
                <w:b/>
                <w:sz w:val="16"/>
              </w:rPr>
              <w:t xml:space="preserve">Poštovní adresa: </w:t>
            </w:r>
            <w:r>
              <w:rPr>
                <w:rFonts/>
                <w:b/>
                <w:sz w:val="16"/>
              </w:rPr>
              <w:t>B.P. 146</w:t>
            </w:r>
          </w:p>
          <w:p w:rsidR="004C715E" w:rsidRPr="00BE1B54" w:rsidRDefault="004C715E" w:rsidP="007876E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0"/>
                <w:szCs w:val="20"/>
                <w:lang/>
              </w:rPr>
            </w:pPr>
            <w:r>
              <w:rPr>
                <w:rFonts/>
                <w:b/>
                <w:sz w:val="16"/>
              </w:rPr>
              <w:t>L-4902 Bascharage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7876E0" w:rsidRDefault="004C715E" w:rsidP="007876E0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4C715E" w:rsidRPr="00BE1B54" w:rsidRDefault="004C715E" w:rsidP="007876E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0"/>
                <w:szCs w:val="10"/>
                <w:lang/>
              </w:rPr>
            </w:pPr>
            <w:r>
              <w:rPr>
                <w:rFonts/>
                <w:b/>
                <w:sz w:val="10"/>
              </w:rPr>
              <w:t>VÍCE NEŽ 40 LET</w:t>
            </w:r>
            <w:r>
              <w:rPr>
                <w:rFonts/>
                <w:sz w:val="10"/>
              </w:rPr>
              <w:t xml:space="preserve"> NĚMECKÉ TECHNOLOGIE</w:t>
            </w:r>
          </w:p>
        </w:tc>
      </w:tr>
      <w:bookmarkEnd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id="0"/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6758A2" w:rsidRDefault="006758A2" w:rsidP="004C715E">
      <w:pPr>
        <w:spacing w:after="0" w:line="240" w:lineRule="auto"/>
        <w:rPr>
          <w:rFonts w:cs="Arial"/>
          <w:sz w:val="10"/>
          <w:szCs w:val="10"/>
          <w:lang/>
        </w:rPr>
      </w:pPr>
    </w:p>
    <w:p w:rsidR="00535E21" w:rsidRDefault="004C715E" w:rsidP="004C715E">
      <w:pPr>
        <w:spacing w:after="0" w:line="240" w:lineRule="auto"/>
        <w:rPr>
          <w:rFonts w:eastAsia="Arial Unicode MS" w:cs="Arial"/>
          <w:b/>
          <w:bCs/>
          <w:sz w:val="18"/>
          <w:szCs w:val="18"/>
          <w:lang/>
        </w:rPr>
      </w:pPr>
      <w:r>
        <w:rPr>
          <w:rFonts/>
          <w:b/>
          <w:sz w:val="18"/>
        </w:rPr>
        <w:t>MSA International S.A. - PED, Avenue de l’Europe - L-4802 Lamadelaine</w:t>
      </w:r>
    </w:p>
    <w:p w:rsidR="00535E21" w:rsidRPr="00535E21" w:rsidRDefault="004C715E" w:rsidP="004C715E">
      <w:pPr>
        <w:spacing w:after="0" w:line="240" w:lineRule="auto"/>
        <w:rPr>
          <w:rFonts w:eastAsia="Arial Unicode MS" w:cs="Arial"/>
          <w:sz w:val="16"/>
          <w:szCs w:val="16"/>
          <w:lang/>
        </w:rPr>
      </w:pPr>
      <w:r>
        <w:rPr>
          <w:rFonts/>
          <w:b/>
          <w:sz w:val="18"/>
        </w:rPr>
        <w:t xml:space="preserve">TEL: </w:t>
      </w:r>
      <w:r>
        <w:rPr>
          <w:rFonts/>
          <w:b/>
          <w:sz w:val="18"/>
        </w:rPr>
        <w:t xml:space="preserve">+352 26 65 65 – FAX: </w:t>
      </w:r>
      <w:r>
        <w:rPr>
          <w:rFonts/>
          <w:b/>
          <w:sz w:val="18"/>
        </w:rPr>
        <w:t>+352 26 65 651 – e-mail: info@msainternational.com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35E21" w:rsidRPr="0053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EA"/>
    <w:rsid w:val="00092CA2"/>
    <w:rsid w:val="002B5771"/>
    <w:rsid w:val="00344A44"/>
    <w:rsid w:val="003B5983"/>
    <w:rsid w:val="003D23A2"/>
    <w:rsid w:val="004B6922"/>
    <w:rsid w:val="004C715E"/>
    <w:rsid w:val="00535E21"/>
    <w:rsid w:val="00665405"/>
    <w:rsid w:val="006758A2"/>
    <w:rsid w:val="00747430"/>
    <w:rsid w:val="007876E0"/>
    <w:rsid w:val="00992F7D"/>
    <w:rsid w:val="009E5EB5"/>
    <w:rsid w:val="00B740EA"/>
    <w:rsid w:val="00CE006C"/>
    <w:rsid w:val="00F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Calibri" w:eastAsiaTheme="minorEastAsia" w:hAnsi="Calibri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983"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NotTranslate">
    <w:name w:val="DoNotTranslate"/>
    <w:basedOn w:val="Standardnpsmoodstavce"/>
    <w:uiPriority w:val="1"/>
    <w:qFormat/>
    <w:rsid w:val="00344A44"/>
  </w:style>
  <w:style w:type="table" w:styleId="Mkatabulky">
    <w:name w:val="Table Grid"/>
    <w:basedOn w:val="Normlntabulka"/>
    <w:uiPriority w:val="59"/>
    <w:rsid w:val="004C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983"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NotTranslate">
    <w:name w:val="DoNotTranslate"/>
    <w:basedOn w:val="Standardnpsmoodstavce"/>
    <w:uiPriority w:val="1"/>
    <w:qFormat/>
    <w:rsid w:val="00344A44"/>
  </w:style>
  <w:style w:type="table" w:styleId="Mkatabulky">
    <w:name w:val="Table Grid"/>
    <w:basedOn w:val="Normlntabulka"/>
    <w:uiPriority w:val="59"/>
    <w:rsid w:val="004C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dagmar.podesvova</dc:creator>
  <cp:lastModifiedBy>dagmar.podesvova</cp:lastModifiedBy>
  <cp:revision>2</cp:revision>
  <dcterms:created xsi:type="dcterms:W3CDTF">2017-11-21T07:37:00Z</dcterms:created>
  <dcterms:modified xsi:type="dcterms:W3CDTF">2017-11-21T07:37:00Z</dcterms:modified>
</cp:coreProperties>
</file>